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309</w:t>
      </w:r>
    </w:p>
    <w:p>
      <w:r>
        <w:t>Bundesgericht (BGE), 1989-07-06, DE</w:t>
      </w:r>
    </w:p>
    <w:p>
      <w:r>
        <w:rPr>
          <w:b/>
        </w:rPr>
        <w:t xml:space="preserve">Quelle: </w:t>
      </w:r>
      <w:r>
        <w:t>https://mcp.opencaselaw.ch/entscheid/bge_115 II 309</w:t>
      </w:r>
    </w:p>
    <w:p>
      <w:r>
        <w:t>FR: ATF 115 II 309</w:t>
      </w:r>
    </w:p>
    <w:p>
      <w:r>
        <w:t>IT: DTF 115 II 309</w:t>
      </w:r>
    </w:p>
    <w:p>
      <w:pPr>
        <w:pStyle w:val="Heading2"/>
      </w:pPr>
      <w:r>
        <w:t>Regeste</w:t>
      </w:r>
    </w:p>
    <w:p>
      <w:r>
        <w:t>Regeste Abänderung des Scheidungsurteils; Anpassung einer Scheidungsrente nach Massgabe der seit der Scheidung eingetretenen Teuerung (Art. 153 ZGB). 1. Soweit eine Scheidungsrente Unterhalts- oder Unterhaltsersatzcharakter hat, kann sie nachträglich in dem Masse der eingetretenen Teuerung angepasst werden, als das Einkommen des Unterhaltspflichtigen mit der Teuerung Schritt gehalten hat (E. 1 und 2a). 2. Wo das ordentliche Einkommen sich auf die AHV-Rente beschränkt, der Unterhaltspflichtige jedoch über Vermögen verfügt, ist auch diesem Rechnung zu tragen; dabei verstösst es grundsätzlich nicht gegen Bundesrecht, hauptsächlich bei Immobilien einen durchschnittlichen Kapitalzins zu ermitteln, vorausgesetzt, dass kein übersetzter Zinssatz gewählt wird (E. 3a und 3b); die nachträgliche teuerungsbedingte Anpassung der Rente darf in einem solchen Fall nicht dazu führen, dass der Pflichtige genötigt wird, das von ihm bewohnte Haus zu veräussern (E. 3c). 3. Dem Abänderungsrichter ist es verwehrt, die Anpassung der Rente von den wirtschaftlichen Verhältnissen der Berechtigten oder von anderen Umständen abhängig zu machen, die der Scheidungsrichter bei der Festsetzung einer Rente zu berücksichtigen hätte (E. 4).</w:t>
      </w:r>
    </w:p>
    <w:p>
      <w:pPr>
        <w:pStyle w:val="Heading2"/>
      </w:pPr>
      <w:r>
        <w:t>Erwägungen</w:t>
      </w:r>
    </w:p>
    <w:p>
      <w:r>
        <w:rPr>
          <w:b/>
        </w:rPr>
        <w:t>E. 1</w:t>
      </w:r>
    </w:p>
    <w:p>
      <w:r>
        <w:t>Wie das Kantonsgericht zutreffend festhält, ist nach der in BGE 100 II 245 ff. begründeten Rechtsprechung die Indexierung einer Unterhalts- oder Unterhaltsersatzrente im Sinne von Art. 152 bzw. 151 ZGB auch gegen den Willen des Rentenverpflichteten zulässig, wenn die bestimmte Aussicht besteht, dass dessen Einkommen der Teuerung laufend angeglichen wird ( BGE 100 II 253 ). In BGE 105 II 171 E. 3b hat das Bundesgericht sodann entschieden, dass diese Rechtsprechung sinngemäss ebenso für eine nachträglich anbegehrte Anpassung der Rente an die Teuerung gelten müsse; auch in diesem Fall werde keine nach Art. 153 Abs. 2 ZGB verpönte nachträgliche materielle Erhöhung der Rente vorgenommen, sondern diese lediglich wertmässig, im Vergleich zur Kaufkraft, auf derselben Höhe gehalten. Voraussetzung ist auch hier, dass sich das Einkommen des Pflichtigen seit der Scheidung der Teuerung angepasst hat...</w:t>
      </w:r>
    </w:p>
    <w:p>
      <w:r>
        <w:rPr>
          <w:b/>
        </w:rPr>
        <w:t>E. 2</w:t>
      </w:r>
    </w:p>
    <w:p>
      <w:r>
        <w:t>a) Dass die Rente, die der Klägerin vom erstinstanzlichen Scheidungsrichter ausdrücklich sowohl gestützt auf Art. 151 als auch gestützt auf Art. 152 ZGB zuerkannt, vom Kantonsgericht ... im Urteil vom 27. April 1967 wie auch vom Bundesgericht im Urteil vom 18. Dezember 1967 jedoch als Unterhaltsbeitrag gemäss Art. 151 ZGB bezeichnet wurde, vorwiegend dem Unterhaltsersatz dienen sollte, ist nicht mehr streitig. Das Kantonsgericht stellt fest, dass die Rente nur zu einem kleinen Teil als Ersatz für verlorene Anwartschaften gedacht gewesen sei. Zu prüfen ist dagegen, ob das Einkommen des Beklagten sich seit der Scheidung der Teuerung angepasst habe. Sollte dies nur beschränkt der Fall gewesen sein, wäre die Klage entgegen der Auffassung des Beklagten nicht einfach abzuweisen, sondern eben nur teilweise gutzuheissen. b) Das Kantonsgericht hat zur strittigen Frage festgehalten, dass das vom Beklagten im Zeitpunkt der Scheidung erzielte Einkommen bei Berücksichtigung der Teuerung Ende 1987 dem Betrag von Fr. 73'165.90 entsprochen hätte. Sodann weist die Vorinstanz darauf hin, dass der 1915 geborene Beklagte als AHV-Rentner gemäss den Steuerunterlagen praktisch kein Einkommen erziele, jedoch über erhebliches Vermögen verfüge; es liege ein atypischer Fall vor, bei dem neben dem Renteneinkommen auch der Vermögensertrag des Pflichtigen in die Beurteilung miteinzubeziehen sei. Dabei gehe es nicht an, einfach auf den in den Steuerunterlagen BGE 115 II 309 S. 313 ausgewiesenen Ertrag abzustellen, sondern es sei von einem durchschnittlichen, bei gewöhnlicher Vermögensanlage erzielbaren Betrag, mit andern Worten von dem auszugehen, was der Beklagte bei produktiver Verwendung des Vermögens normalerweise erzielen könnte. Das Kantonsgericht hat ausdrücklich festgehalten, dass diese Berechnungsart nicht ein doloses Verhalten des Pflichtigen voraussetze. Für die Ermittlung des Einkommens aus Vermögen hat es einen durchschnittlichen Zinssatz von 4,5% als angemessen betrachtet; ein solcher sei auch heute, ohne spekulieren zu müssen, erzielbar. Für Darlehen, die der Beklagte den beiden Kindern ... zu Vorzugszinsen gewährt hat, ging das Kantonsgericht allerdings von den effektiven Zinserträgen aus, welche die Klägerin an Schranken ausdrücklich anerkannt habe. Ausserdem setzte die Vorinstanz bezüglich der vom Beklagten bewohnten Liegenschaft, die einen Steuerwert von Fr. 218'000.-- aufweise und mit Fr. 100'000.-- hypothekarisch belastet sei, den Eigenmietwert von Fr. 11'200.-- ein; von einer Verzinsung des Nettobetrags (von Fr. 118'000.--) zu 4,5% sei in diesem Fall abzusehen. c) Den gesamten Vermögensertrag des Beklagten bezifferte das Kantonsgericht auf Fr. 55'528.--, was zusammen mit der derzeitigen AHV-Rente von Fr. 18'000.-- ein massgebliches Jahreseinkommen von Fr. 73'528.-- ergebe. Diese Summe liegt über dem Betrag von Fr. 73'165.90, den es durch eine Aufwertung nach Massgabe der Teuerung als Einkommen des Beklagten im Zeitpunkt der Scheidung ermittelt hat. Dennoch hat die Vorinstanz die Rente nicht in dem von der Klägerin verlangten Umfang angepasst; statt der geforderten Fr. 1'950.-- im Monat, sprach sie der Klägerin lediglich Fr. 1'500.-- zu. Sie hat dafürgehalten, dass aus Gründen der Billigkeit auch die wirtschaftliche Lage der Klägerin und weitere Umstände einzubeziehen seien, so vor allem die seit der Scheidung verstrichene Zeit, die Tatsache, dass die Klägerin keinen Anspruch auf Beibehaltung des gleichen Lebensstandards wie in der Ehe habe, und dass sie aus der Sicht ihres Alters nach der neuesten bundesgerichtlichen Rechtsprechung nicht mehr ohne weiteres mit einer Dauerrente hätte rechnen können. Ferner hat die Vorinstanz berücksichtigt, dass die in Frage stehende Rente nicht ausschliesslich Unterhaltsersatz darstellt und dass andererseits der Beklagte sein erhöhtes Einkommen nicht mehr aus aktiver Arbeit erziele, sondern dass sich dieses hauptsächlich aus dem Vermögensertrag ergebe. All diese Umstände lassen nach Auffassung des Kantonsgerichts im vorliegenden - atypischen - Fall BGE 115 II 309 S. 314 eine gewisse Zurückhaltung bei der Festsetzung des neuen Rentenbetrags als angebracht erscheinen.</w:t>
      </w:r>
    </w:p>
    <w:p>
      <w:r>
        <w:rPr>
          <w:b/>
        </w:rPr>
        <w:t>E. 3</w:t>
      </w:r>
    </w:p>
    <w:p>
      <w:r>
        <w:t>a) Mit seiner Berufung verlangt der Beklagte in grundsätzlicher Hinsicht, dass bei der Ermittlung seines Vermögensertrags nicht von hypothetischen, sondern von den tatsächlichen Einkünften ausgegangen werde; auf ein hypothetisches Einkommen dürfe bei der nachträglichen Indexierung einer Rente nur dann abgestellt werden, wenn es der Pflichtige absichtlich unterlasse, einen angemessenen Vermögensertrag zu erzielen; davon könne vorliegend keine Rede sein. Abgesehen davon, entspreche sein tatsächlich erzielter Vermögensertrag einer durchaus produktiven Verwendung des Vermögens. Im Rahmen einer Klage auf nachträgliche Indexierung der Scheidungsrente könnten nicht andere Massstäbe angelegt werden als diejenigen, die beim Scheidungsprozess Anwendung gefunden hätten, würde doch andernfalls der Grundsatz verletzt, dass die nachträgliche Indexierung nur bei vollem Teuerungsausgleich verfügt werden dürfe. Im Zeitpunkt der Urteilsfällung habe sein Einkommen nur Fr. 48'989.-- (bzw. gemäss der vom Beklagten persönlich eingereichten Eingabe vom 2. März 1989 Fr. 49'957.--) betragen. Damit sei die Voraussetzung für eine Anpassung nicht gegeben. b) Es liegt hier in der Tat insofern ein besonderer Fall vor, als das ordentliche Einkommen des Beklagten sich auf die AHV-Rente beschränkt, der Beklagte jedoch über ein gewisses Vermögen verfügt. Bezüglich der wirtschaftlichen Leistungsfähigkeit des rentenpflichtigen Beklagten ist bei dieser Sachlage einzig von Belang, ob und in welchem Masse sie mit der seit der Scheidung eingetretenen Teuerung Schritt gehalten habe. Dazu bedarf es keiner exakten Ermittlung der Einnahmen, und es kann auch nicht darum gehen, abzuklären, ob und wie der Beklagte grössere Einkünfte erzielen könnte. Dass sein Vermögen in die Beurteilung der Abänderungsklage einzubeziehen ist, anerkennt auch der Beklagte selbst. Hingegen beanstandet er das Vorgehen der Vorinstanz, die - abgesehen von zwei Abweichungen bezüglich des Wohnhauses, wo sie auf den Eigenmietwert abgestellt hat, und der den beiden Kindern gewährten Darlehen - den Vermögensertrag in der Weise ermittelt hat, dass sie von einer einheitlichen Verzinsung zu 4,5% ausging. Eine Verletzung von Bundesrecht liegt darin nicht. Das Vermögen des Beklagten besteht zu einem nicht unbedeutenden Teil aus Immobilien (Wohnhaus ..., Ferienhaus ... und Wald ...), deren Ertrag zu BGE 115 II 309 S. 315 bestimmen angesichts ihrer Verschiedenartigkeit nicht einfach ist. Die vom Kantonsgericht gewählte Methode - Ermittlung eines durchschnittlichen Kapitalzinses - erscheint für einen Fall der vorliegenden Art grundsätzlich als angemessen, sofern dieser Rechnung kein übersetzter Zinssatz zugrunde gelegt wird. Die hier eingesetzten 4,5% mögen sich zwar an der oberen Grenze bewegen, doch ist andererseits darauf hinzuweisen, dass die Vorinstanz nicht vom effektiven Wert der Liegenschaften ausgegangen ist, sondern vom viel tieferen Steuerwert. Dem Einwand des Beklagten, das Kantonsgericht hätte den Zins für die auf dem Wohnhaus lastende Hypothek (den der Beklagte ebenfalls mit 4,5% angibt) in Abzug bringen müssen, ist entgegenzuhalten, dass die Vorinstanz die Schuldenlast von Anfang an abgezogen und den Ertrag nur auf dem Netto-Vermögen errechnet hat. Zudem ist für das Wohnhaus ohnehin der Eigenmietwert eingesetzt worden. Was der Beklagte mit Bezug auf das bewegliche Vermögen - in tatsächlicher Hinsicht - vorbringt (Auslagen für den Sohn C.; keine einheitliche Wahl des massgeblichen Zeitpunkts bei der Ermittlung des Vermögensstandes), findet im angefochtenen Entscheid keine Stütze und kann hier deshalb nicht gehört werden. Unbegründet ist von vornherein die Rüge betreffend den Zeitpunkt, den das Kantonsgericht für die Prüfung der wirtschaftlichen Verhältnisse des Beklagten grundsätzlich als massgeblich erachtet hat. Dem Abstellen auf die Lage bei Einleitung der Klage steht jedenfalls von Bundesrechts wegen nichts entgegen (dazu BÜHLER/SPÜHLER, N. 79 zu Art. 153 ZGB ; HINDERLING, Das schweizerische Ehescheidungsrecht, Zusatzband zur 3. Auflage, S. 91); die vorinstanzliche Lösung ist im übrigen durchaus sachgerecht. c) Wo die Leistungsfähigkeit des Unterhaltspflichtigen - wie hier - zu einem bedeutenden Teil auf dem Vermögen beruht, darf die nachträgliche teuerungsbedingte Anpassung der Rente nicht dazu führen, dass der Verpflichtete genötigt wird, die Liegenschaft zu veräussern, die er selbst bewohnt. In Anbetracht der Zusammensetzung des Vermögens ist dies beim Beklagten nicht der Fall.</w:t>
      </w:r>
    </w:p>
    <w:p>
      <w:r>
        <w:rPr>
          <w:b/>
        </w:rPr>
        <w:t>E. 4</w:t>
      </w:r>
    </w:p>
    <w:p>
      <w:r>
        <w:t>a) Wie bereits erwähnt, hat die Vorinstanz die Rente nicht in dem von der Klägerin verlangten Mass erhöht. Unter Berufung auf BGE 105 II 171 E. c führt sie aus, dass auch die nachträgliche Indexierung sich nach Recht und Billigkeit zu richten habe; es seien deshalb sowohl die wirtschaftlichen Verhältnisse der Klägerin BGE 115 II 309 S. 316 wie auch weitere Umstände in die Beurteilung miteinzubeziehen. An der erwähnten Stelle hat das Bundesgericht wohl festgehalten, die (nachträgliche) Indexierung entspreche - auch - einem Gebot der Billigkeit. Indessen hat es in diesem Zusammenhang einzig darauf hingewiesen, dass die Kaufkraft der der geschiedenen Ehefrau zugesprochenen Rente seit der Scheidung auf ungefähr die Hälfte gesunken sei, während das Einkommen des Unterhaltsverpflichteten sich beinahe verdoppelt habe. Dass im Rahmen einer Rentenanpassung zur ausschliesslichen Erhaltung der Kaufkraft, auch etwa die wirtschaftlichen Verhältnisse der Rentenberechtigten (neu) zu würdigen oder noch andere Umstände in die Beurteilung einzubeziehen wären, hat das Bundesgericht dagegen nicht gesagt. Es ginge denn in der Tat nicht an, dass der Abänderungsrichter in einem Fall der vorliegenden Art den Rentenanspruch dem Grundsatze nach neu überprüfen würde. Wegen Verbesserung der wirtschaftlichen Verhältnisse auf seiten des Berechtigten kann eine auf Art. 151 ZGB beruhende Unterhaltsrente im übrigen ohnehin nicht herabgesetzt werden (vgl. BGE 110 II 114 f. E. b mit Hinweisen). Entgegen der Ansicht des Kantonsgerichts ist nach dem Gesagten insbesondere auch ohne Belang, dass eine geschiedene Frau nicht Anspruch auf Beibehaltung des ehelichen Lebensstandards habe, dass nach der heutigen Praxis eine Frau, die im Zeitpunkt der Scheidung 45 Jahre alt ist, nicht ohne weiteres Anspruch auf eine zeitlich unbegrenzte Rente habe und dass seit der Scheidung der Ehe der Parteien 20 Jahre verstrichen sind. b) Einziger Grund, die der Klägerin vom Scheidungsrichter zugesprochene Rente nicht in vollem Masse der eingetretenen Teuerung anzupassen, ist der Umstand, dass mit ihr zu einem - kleineren - Teil Anwartschaften abgegolten werden sollen. Dieser Tatsache hat die Klägerin bereits in ihrem Klagebegehren Rechnung getragen, indem sie statt der Erhöhung der Rente auf Fr. 2'203.80 (wie eine volle Anpassung sie nach den vorinstanzlichen Feststellungen ergeben würde) eine Heraufsetzung auf lediglich Fr. 1'950.-- im Monat verlangt hat. Dass und inwiefern mit diesem Abzug dem Umstand nicht ausreichend Rechnung getragen worden wäre, dass die Rente zum Teil als Anwartschaftsersatz gedacht war, und dass eine in diesem Punkt vollumfängliche Gutheissung der Klage Bundesrecht verletzen sollte, macht der Beklagte nicht geltend. Hingegen hat die Vorinstanz insofern gegen Bundesrecht verstossen, als sie die oben angeführten sachfremden BGE 115 II 309 S. 317 Kriterien in die Beurteilung miteinbezogen hat. Die Klägerin hat somit Anspruch auf die Anpassung der Rente in dem von ihr beantragten Umfang. Ihre Berufung ist demnach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